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5E" w:rsidRPr="00BD3D5D" w:rsidRDefault="00713730" w:rsidP="008D3745">
      <w:pPr>
        <w:jc w:val="both"/>
        <w:rPr>
          <w:rFonts w:ascii="Arial" w:hAnsi="Arial" w:cs="Arial"/>
          <w:b/>
          <w:u w:val="single"/>
        </w:rPr>
      </w:pPr>
      <w:r w:rsidRPr="00BD3D5D">
        <w:rPr>
          <w:rFonts w:ascii="Arial" w:hAnsi="Arial" w:cs="Arial"/>
          <w:b/>
          <w:u w:val="single"/>
        </w:rPr>
        <w:t>LEP – Growing Places - Lead Sue Roberts</w:t>
      </w:r>
    </w:p>
    <w:p w:rsidR="0058405E" w:rsidRPr="00BD3D5D" w:rsidRDefault="00713730" w:rsidP="008D3745">
      <w:pPr>
        <w:jc w:val="both"/>
        <w:rPr>
          <w:rFonts w:ascii="Arial" w:hAnsi="Arial" w:cs="Arial"/>
          <w:b/>
          <w:i/>
        </w:rPr>
      </w:pPr>
      <w:r w:rsidRPr="00BD3D5D">
        <w:rPr>
          <w:rFonts w:ascii="Arial" w:hAnsi="Arial" w:cs="Arial"/>
          <w:b/>
          <w:i/>
        </w:rPr>
        <w:t>Background</w:t>
      </w:r>
    </w:p>
    <w:p w:rsidR="00097A40" w:rsidRPr="00BD3D5D" w:rsidRDefault="00713730" w:rsidP="008D3745">
      <w:pPr>
        <w:jc w:val="both"/>
        <w:rPr>
          <w:rFonts w:ascii="Arial" w:hAnsi="Arial" w:cs="Arial"/>
        </w:rPr>
      </w:pPr>
      <w:r w:rsidRPr="00BD3D5D">
        <w:rPr>
          <w:rFonts w:ascii="Arial" w:hAnsi="Arial" w:cs="Arial"/>
        </w:rPr>
        <w:t xml:space="preserve">The government provided £19.3m in 2012 for a Growing Places Fund.  The fund is for capital developments to unlock stalled sites in Lancashire with an ambition that the fund should become evergreen (a </w:t>
      </w:r>
      <w:r w:rsidRPr="00BD3D5D">
        <w:rPr>
          <w:rFonts w:ascii="Arial" w:hAnsi="Arial" w:cs="Arial"/>
        </w:rPr>
        <w:t>recycling loan fund). The fund has achieved this and moving forward the capital continues to be re-invested in new schemes with the interest becoming part of the income for the LEP.</w:t>
      </w:r>
    </w:p>
    <w:p w:rsidR="00B227A8" w:rsidRPr="00BD3D5D" w:rsidRDefault="00713730" w:rsidP="008D3745">
      <w:pPr>
        <w:jc w:val="both"/>
        <w:rPr>
          <w:rFonts w:ascii="Arial" w:hAnsi="Arial" w:cs="Arial"/>
        </w:rPr>
      </w:pPr>
      <w:r w:rsidRPr="00BD3D5D">
        <w:rPr>
          <w:rFonts w:ascii="Arial" w:hAnsi="Arial" w:cs="Arial"/>
        </w:rPr>
        <w:t>There are currently eleven schemes in receipt of growing p</w:t>
      </w:r>
      <w:bookmarkStart w:id="0" w:name="_GoBack"/>
      <w:bookmarkEnd w:id="0"/>
      <w:r w:rsidRPr="00BD3D5D">
        <w:rPr>
          <w:rFonts w:ascii="Arial" w:hAnsi="Arial" w:cs="Arial"/>
        </w:rPr>
        <w:t>laces funds, eig</w:t>
      </w:r>
      <w:r w:rsidRPr="00BD3D5D">
        <w:rPr>
          <w:rFonts w:ascii="Arial" w:hAnsi="Arial" w:cs="Arial"/>
        </w:rPr>
        <w:t>ht been developed out and repaid.  There are three live schemes; two are the subject of a separate report and four projects are in the pipeline.</w:t>
      </w:r>
    </w:p>
    <w:p w:rsidR="0058405E" w:rsidRPr="00BD3D5D" w:rsidRDefault="00713730" w:rsidP="008D3745">
      <w:pPr>
        <w:jc w:val="both"/>
        <w:rPr>
          <w:rFonts w:ascii="Arial" w:hAnsi="Arial" w:cs="Arial"/>
          <w:b/>
          <w:i/>
        </w:rPr>
      </w:pPr>
      <w:r w:rsidRPr="00BD3D5D">
        <w:rPr>
          <w:rFonts w:ascii="Arial" w:hAnsi="Arial" w:cs="Arial"/>
          <w:b/>
          <w:i/>
        </w:rPr>
        <w:t>Performance</w:t>
      </w:r>
    </w:p>
    <w:p w:rsidR="00097A40" w:rsidRPr="00BD3D5D" w:rsidRDefault="00713730" w:rsidP="008D3745">
      <w:pPr>
        <w:jc w:val="both"/>
        <w:rPr>
          <w:rFonts w:ascii="Arial" w:hAnsi="Arial" w:cs="Arial"/>
        </w:rPr>
      </w:pPr>
      <w:r w:rsidRPr="00BD3D5D">
        <w:rPr>
          <w:rFonts w:ascii="Arial" w:hAnsi="Arial" w:cs="Arial"/>
        </w:rPr>
        <w:t>As this is a loan fund, there are no contracted targets, however schemes have reported the followin</w:t>
      </w:r>
      <w:r w:rsidRPr="00BD3D5D">
        <w:rPr>
          <w:rFonts w:ascii="Arial" w:hAnsi="Arial" w:cs="Arial"/>
        </w:rPr>
        <w:t xml:space="preserve">g economic impacts in relation to the funds received. </w:t>
      </w:r>
    </w:p>
    <w:p w:rsidR="005C557F" w:rsidRPr="00BD3D5D" w:rsidRDefault="00713730" w:rsidP="008D3745">
      <w:pPr>
        <w:jc w:val="both"/>
        <w:rPr>
          <w:rFonts w:ascii="Arial" w:hAnsi="Arial" w:cs="Arial"/>
          <w:u w:val="single"/>
        </w:rPr>
      </w:pPr>
      <w:r w:rsidRPr="00BD3D5D">
        <w:rPr>
          <w:rFonts w:ascii="Arial" w:hAnsi="Arial" w:cs="Arial"/>
          <w:u w:val="single"/>
        </w:rPr>
        <w:t>Output – As at 1/6/20</w:t>
      </w:r>
    </w:p>
    <w:tbl>
      <w:tblPr>
        <w:tblStyle w:val="TableGrid"/>
        <w:tblW w:w="5807" w:type="dxa"/>
        <w:tblLook w:val="04A0" w:firstRow="1" w:lastRow="0" w:firstColumn="1" w:lastColumn="0" w:noHBand="0" w:noVBand="1"/>
      </w:tblPr>
      <w:tblGrid>
        <w:gridCol w:w="3823"/>
        <w:gridCol w:w="1984"/>
      </w:tblGrid>
      <w:tr w:rsidR="00EA1DBD" w:rsidTr="00E530C3">
        <w:tc>
          <w:tcPr>
            <w:tcW w:w="3823" w:type="dxa"/>
          </w:tcPr>
          <w:p w:rsidR="00E530C3" w:rsidRPr="00BD3D5D" w:rsidRDefault="00713730" w:rsidP="00CC793C">
            <w:pPr>
              <w:rPr>
                <w:rFonts w:ascii="Arial" w:hAnsi="Arial" w:cs="Arial"/>
                <w:b/>
              </w:rPr>
            </w:pPr>
            <w:r w:rsidRPr="00BD3D5D">
              <w:rPr>
                <w:rFonts w:ascii="Arial" w:hAnsi="Arial" w:cs="Arial"/>
                <w:b/>
              </w:rPr>
              <w:t>Output</w:t>
            </w:r>
          </w:p>
        </w:tc>
        <w:tc>
          <w:tcPr>
            <w:tcW w:w="1984" w:type="dxa"/>
          </w:tcPr>
          <w:p w:rsidR="00E530C3" w:rsidRPr="00BD3D5D" w:rsidRDefault="00713730" w:rsidP="00E530C3">
            <w:pPr>
              <w:rPr>
                <w:rFonts w:ascii="Arial" w:hAnsi="Arial" w:cs="Arial"/>
                <w:b/>
              </w:rPr>
            </w:pPr>
            <w:r w:rsidRPr="00BD3D5D">
              <w:rPr>
                <w:rFonts w:ascii="Arial" w:hAnsi="Arial" w:cs="Arial"/>
                <w:b/>
              </w:rPr>
              <w:t xml:space="preserve">Actuals </w:t>
            </w:r>
          </w:p>
        </w:tc>
      </w:tr>
      <w:tr w:rsidR="00EA1DBD" w:rsidTr="00E530C3">
        <w:tc>
          <w:tcPr>
            <w:tcW w:w="3823" w:type="dxa"/>
          </w:tcPr>
          <w:p w:rsidR="00E530C3" w:rsidRPr="00BD3D5D" w:rsidRDefault="00713730" w:rsidP="00CC793C">
            <w:pPr>
              <w:rPr>
                <w:rFonts w:ascii="Arial" w:hAnsi="Arial" w:cs="Arial"/>
              </w:rPr>
            </w:pPr>
            <w:r w:rsidRPr="00BD3D5D">
              <w:rPr>
                <w:rFonts w:ascii="Arial" w:hAnsi="Arial" w:cs="Arial"/>
              </w:rPr>
              <w:t>Private sector investment</w:t>
            </w:r>
          </w:p>
        </w:tc>
        <w:tc>
          <w:tcPr>
            <w:tcW w:w="1984" w:type="dxa"/>
          </w:tcPr>
          <w:p w:rsidR="00E530C3" w:rsidRPr="00BD3D5D" w:rsidRDefault="00713730" w:rsidP="00CC793C">
            <w:pPr>
              <w:rPr>
                <w:rFonts w:ascii="Arial" w:hAnsi="Arial" w:cs="Arial"/>
              </w:rPr>
            </w:pPr>
            <w:r w:rsidRPr="00BD3D5D">
              <w:rPr>
                <w:rFonts w:ascii="Arial" w:hAnsi="Arial" w:cs="Arial"/>
              </w:rPr>
              <w:t>£97,887,013</w:t>
            </w:r>
          </w:p>
        </w:tc>
      </w:tr>
      <w:tr w:rsidR="00EA1DBD" w:rsidTr="00E530C3">
        <w:tc>
          <w:tcPr>
            <w:tcW w:w="3823" w:type="dxa"/>
          </w:tcPr>
          <w:p w:rsidR="00E530C3" w:rsidRPr="00BD3D5D" w:rsidRDefault="00713730" w:rsidP="00CC793C">
            <w:pPr>
              <w:rPr>
                <w:rFonts w:ascii="Arial" w:hAnsi="Arial" w:cs="Arial"/>
              </w:rPr>
            </w:pPr>
            <w:r w:rsidRPr="00BD3D5D">
              <w:rPr>
                <w:rFonts w:ascii="Arial" w:hAnsi="Arial" w:cs="Arial"/>
              </w:rPr>
              <w:t>Jobs</w:t>
            </w:r>
          </w:p>
        </w:tc>
        <w:tc>
          <w:tcPr>
            <w:tcW w:w="1984" w:type="dxa"/>
          </w:tcPr>
          <w:p w:rsidR="00E530C3" w:rsidRPr="00BD3D5D" w:rsidRDefault="00713730" w:rsidP="00CC793C">
            <w:pPr>
              <w:rPr>
                <w:rFonts w:ascii="Arial" w:hAnsi="Arial" w:cs="Arial"/>
              </w:rPr>
            </w:pPr>
            <w:r w:rsidRPr="00BD3D5D">
              <w:rPr>
                <w:rFonts w:ascii="Arial" w:hAnsi="Arial" w:cs="Arial"/>
              </w:rPr>
              <w:t>2,120</w:t>
            </w:r>
          </w:p>
        </w:tc>
      </w:tr>
      <w:tr w:rsidR="00EA1DBD" w:rsidTr="00E530C3">
        <w:tc>
          <w:tcPr>
            <w:tcW w:w="3823" w:type="dxa"/>
          </w:tcPr>
          <w:p w:rsidR="00E530C3" w:rsidRPr="00BD3D5D" w:rsidRDefault="00713730" w:rsidP="00CC793C">
            <w:pPr>
              <w:rPr>
                <w:rFonts w:ascii="Arial" w:hAnsi="Arial" w:cs="Arial"/>
              </w:rPr>
            </w:pPr>
            <w:r w:rsidRPr="00BD3D5D">
              <w:rPr>
                <w:rFonts w:ascii="Arial" w:hAnsi="Arial" w:cs="Arial"/>
              </w:rPr>
              <w:t>Space developed</w:t>
            </w:r>
          </w:p>
        </w:tc>
        <w:tc>
          <w:tcPr>
            <w:tcW w:w="1984" w:type="dxa"/>
          </w:tcPr>
          <w:p w:rsidR="00E530C3" w:rsidRPr="00BD3D5D" w:rsidRDefault="00713730" w:rsidP="00CC793C">
            <w:pPr>
              <w:rPr>
                <w:rFonts w:ascii="Arial" w:hAnsi="Arial" w:cs="Arial"/>
              </w:rPr>
            </w:pPr>
            <w:r w:rsidRPr="00BD3D5D">
              <w:rPr>
                <w:rFonts w:ascii="Arial" w:hAnsi="Arial" w:cs="Arial"/>
              </w:rPr>
              <w:t>2,228,450 sq. ft.</w:t>
            </w:r>
          </w:p>
        </w:tc>
      </w:tr>
      <w:tr w:rsidR="00EA1DBD" w:rsidTr="00E530C3">
        <w:tc>
          <w:tcPr>
            <w:tcW w:w="3823" w:type="dxa"/>
          </w:tcPr>
          <w:p w:rsidR="00E530C3" w:rsidRPr="00BD3D5D" w:rsidRDefault="00713730" w:rsidP="00CC793C">
            <w:pPr>
              <w:rPr>
                <w:rFonts w:ascii="Arial" w:hAnsi="Arial" w:cs="Arial"/>
              </w:rPr>
            </w:pPr>
            <w:r w:rsidRPr="00BD3D5D">
              <w:rPr>
                <w:rFonts w:ascii="Arial" w:hAnsi="Arial" w:cs="Arial"/>
              </w:rPr>
              <w:t>Housing Units</w:t>
            </w:r>
          </w:p>
        </w:tc>
        <w:tc>
          <w:tcPr>
            <w:tcW w:w="1984" w:type="dxa"/>
          </w:tcPr>
          <w:p w:rsidR="00E530C3" w:rsidRPr="00BD3D5D" w:rsidRDefault="00713730" w:rsidP="00CC793C">
            <w:pPr>
              <w:rPr>
                <w:rFonts w:ascii="Arial" w:hAnsi="Arial" w:cs="Arial"/>
              </w:rPr>
            </w:pPr>
            <w:r w:rsidRPr="00BD3D5D">
              <w:rPr>
                <w:rFonts w:ascii="Arial" w:hAnsi="Arial" w:cs="Arial"/>
              </w:rPr>
              <w:t>640</w:t>
            </w:r>
          </w:p>
        </w:tc>
      </w:tr>
    </w:tbl>
    <w:p w:rsidR="00C3291D" w:rsidRPr="00BD3D5D" w:rsidRDefault="00713730" w:rsidP="00E530C3">
      <w:pPr>
        <w:jc w:val="both"/>
        <w:rPr>
          <w:rFonts w:ascii="Arial" w:hAnsi="Arial" w:cs="Arial"/>
          <w:u w:val="single"/>
        </w:rPr>
      </w:pPr>
    </w:p>
    <w:p w:rsidR="00601AA4" w:rsidRPr="00BD3D5D" w:rsidRDefault="00713730" w:rsidP="00E530C3">
      <w:pPr>
        <w:jc w:val="both"/>
        <w:rPr>
          <w:rFonts w:ascii="Arial" w:hAnsi="Arial" w:cs="Arial"/>
          <w:u w:val="single"/>
        </w:rPr>
      </w:pPr>
      <w:r w:rsidRPr="00BD3D5D">
        <w:rPr>
          <w:rFonts w:ascii="Arial" w:hAnsi="Arial" w:cs="Arial"/>
          <w:u w:val="single"/>
        </w:rPr>
        <w:t>Finance – As at 1/6/20</w:t>
      </w:r>
    </w:p>
    <w:tbl>
      <w:tblPr>
        <w:tblStyle w:val="TableGrid"/>
        <w:tblW w:w="5807" w:type="dxa"/>
        <w:tblLook w:val="04A0" w:firstRow="1" w:lastRow="0" w:firstColumn="1" w:lastColumn="0" w:noHBand="0" w:noVBand="1"/>
      </w:tblPr>
      <w:tblGrid>
        <w:gridCol w:w="3823"/>
        <w:gridCol w:w="1984"/>
      </w:tblGrid>
      <w:tr w:rsidR="00EA1DBD" w:rsidTr="00CC793C">
        <w:tc>
          <w:tcPr>
            <w:tcW w:w="3823" w:type="dxa"/>
          </w:tcPr>
          <w:p w:rsidR="00601AA4" w:rsidRPr="00BD3D5D" w:rsidRDefault="00713730" w:rsidP="005F3BEA">
            <w:pPr>
              <w:rPr>
                <w:rFonts w:ascii="Arial" w:hAnsi="Arial" w:cs="Arial"/>
                <w:b/>
              </w:rPr>
            </w:pPr>
            <w:r w:rsidRPr="00BD3D5D">
              <w:rPr>
                <w:rFonts w:ascii="Arial" w:hAnsi="Arial" w:cs="Arial"/>
                <w:b/>
              </w:rPr>
              <w:t>Finance</w:t>
            </w:r>
          </w:p>
        </w:tc>
        <w:tc>
          <w:tcPr>
            <w:tcW w:w="1984" w:type="dxa"/>
          </w:tcPr>
          <w:p w:rsidR="00601AA4" w:rsidRPr="00BD3D5D" w:rsidRDefault="00713730" w:rsidP="00CC793C">
            <w:pPr>
              <w:rPr>
                <w:rFonts w:ascii="Arial" w:hAnsi="Arial" w:cs="Arial"/>
                <w:b/>
              </w:rPr>
            </w:pPr>
            <w:r w:rsidRPr="00BD3D5D">
              <w:rPr>
                <w:rFonts w:ascii="Arial" w:hAnsi="Arial" w:cs="Arial"/>
                <w:b/>
              </w:rPr>
              <w:t xml:space="preserve">Actuals </w:t>
            </w:r>
          </w:p>
        </w:tc>
      </w:tr>
      <w:tr w:rsidR="00EA1DBD" w:rsidTr="00CC793C">
        <w:tc>
          <w:tcPr>
            <w:tcW w:w="3823" w:type="dxa"/>
          </w:tcPr>
          <w:p w:rsidR="00601AA4" w:rsidRPr="00BD3D5D" w:rsidRDefault="00713730" w:rsidP="00CC793C">
            <w:pPr>
              <w:rPr>
                <w:rFonts w:ascii="Arial" w:hAnsi="Arial" w:cs="Arial"/>
              </w:rPr>
            </w:pPr>
            <w:r w:rsidRPr="00BD3D5D">
              <w:rPr>
                <w:rFonts w:ascii="Arial" w:hAnsi="Arial" w:cs="Arial"/>
              </w:rPr>
              <w:t xml:space="preserve">Original Fund </w:t>
            </w:r>
          </w:p>
        </w:tc>
        <w:tc>
          <w:tcPr>
            <w:tcW w:w="1984" w:type="dxa"/>
          </w:tcPr>
          <w:p w:rsidR="00601AA4" w:rsidRPr="00BD3D5D" w:rsidRDefault="00713730" w:rsidP="00CC793C">
            <w:pPr>
              <w:rPr>
                <w:rFonts w:ascii="Arial" w:hAnsi="Arial" w:cs="Arial"/>
              </w:rPr>
            </w:pPr>
            <w:r w:rsidRPr="00BD3D5D">
              <w:rPr>
                <w:rFonts w:ascii="Arial" w:hAnsi="Arial" w:cs="Arial"/>
              </w:rPr>
              <w:t>£19,378,944</w:t>
            </w:r>
          </w:p>
        </w:tc>
      </w:tr>
      <w:tr w:rsidR="00EA1DBD" w:rsidTr="00CC793C">
        <w:tc>
          <w:tcPr>
            <w:tcW w:w="3823" w:type="dxa"/>
          </w:tcPr>
          <w:p w:rsidR="00601AA4" w:rsidRPr="00BD3D5D" w:rsidRDefault="00713730" w:rsidP="00CC793C">
            <w:pPr>
              <w:rPr>
                <w:rFonts w:ascii="Arial" w:hAnsi="Arial" w:cs="Arial"/>
              </w:rPr>
            </w:pPr>
            <w:r w:rsidRPr="00BD3D5D">
              <w:rPr>
                <w:rFonts w:ascii="Arial" w:hAnsi="Arial" w:cs="Arial"/>
              </w:rPr>
              <w:t>Capital Loaned</w:t>
            </w:r>
          </w:p>
        </w:tc>
        <w:tc>
          <w:tcPr>
            <w:tcW w:w="1984" w:type="dxa"/>
          </w:tcPr>
          <w:p w:rsidR="00601AA4" w:rsidRPr="00BD3D5D" w:rsidRDefault="00713730" w:rsidP="00CC793C">
            <w:pPr>
              <w:rPr>
                <w:rFonts w:ascii="Arial" w:hAnsi="Arial" w:cs="Arial"/>
              </w:rPr>
            </w:pPr>
            <w:r w:rsidRPr="00BD3D5D">
              <w:rPr>
                <w:rFonts w:ascii="Arial" w:hAnsi="Arial" w:cs="Arial"/>
              </w:rPr>
              <w:t>£27,864,420</w:t>
            </w:r>
          </w:p>
        </w:tc>
      </w:tr>
      <w:tr w:rsidR="00EA1DBD" w:rsidTr="00CC793C">
        <w:tc>
          <w:tcPr>
            <w:tcW w:w="3823" w:type="dxa"/>
          </w:tcPr>
          <w:p w:rsidR="00601AA4" w:rsidRPr="00BD3D5D" w:rsidRDefault="00713730" w:rsidP="00CC793C">
            <w:pPr>
              <w:rPr>
                <w:rFonts w:ascii="Arial" w:hAnsi="Arial" w:cs="Arial"/>
              </w:rPr>
            </w:pPr>
            <w:r w:rsidRPr="00BD3D5D">
              <w:rPr>
                <w:rFonts w:ascii="Arial" w:hAnsi="Arial" w:cs="Arial"/>
              </w:rPr>
              <w:t xml:space="preserve">Capital Repaid </w:t>
            </w:r>
          </w:p>
        </w:tc>
        <w:tc>
          <w:tcPr>
            <w:tcW w:w="1984" w:type="dxa"/>
          </w:tcPr>
          <w:p w:rsidR="00601AA4" w:rsidRPr="00BD3D5D" w:rsidRDefault="00713730" w:rsidP="00CC793C">
            <w:pPr>
              <w:rPr>
                <w:rFonts w:ascii="Arial" w:hAnsi="Arial" w:cs="Arial"/>
              </w:rPr>
            </w:pPr>
            <w:r w:rsidRPr="00BD3D5D">
              <w:rPr>
                <w:rFonts w:ascii="Arial" w:hAnsi="Arial" w:cs="Arial"/>
              </w:rPr>
              <w:t>£21,657,806</w:t>
            </w:r>
          </w:p>
        </w:tc>
      </w:tr>
      <w:tr w:rsidR="00EA1DBD" w:rsidTr="00601AA4">
        <w:tc>
          <w:tcPr>
            <w:tcW w:w="3823" w:type="dxa"/>
          </w:tcPr>
          <w:p w:rsidR="00601AA4" w:rsidRPr="00BD3D5D" w:rsidRDefault="00713730" w:rsidP="00CC793C">
            <w:pPr>
              <w:rPr>
                <w:rFonts w:ascii="Arial" w:hAnsi="Arial" w:cs="Arial"/>
              </w:rPr>
            </w:pPr>
            <w:r w:rsidRPr="00BD3D5D">
              <w:rPr>
                <w:rFonts w:ascii="Arial" w:hAnsi="Arial" w:cs="Arial"/>
              </w:rPr>
              <w:t>Interest Received from loans</w:t>
            </w:r>
          </w:p>
        </w:tc>
        <w:tc>
          <w:tcPr>
            <w:tcW w:w="1984" w:type="dxa"/>
          </w:tcPr>
          <w:p w:rsidR="00601AA4" w:rsidRPr="00BD3D5D" w:rsidRDefault="00713730" w:rsidP="00CC793C">
            <w:pPr>
              <w:rPr>
                <w:rFonts w:ascii="Arial" w:hAnsi="Arial" w:cs="Arial"/>
              </w:rPr>
            </w:pPr>
            <w:r w:rsidRPr="00BD3D5D">
              <w:rPr>
                <w:rFonts w:ascii="Arial" w:hAnsi="Arial" w:cs="Arial"/>
              </w:rPr>
              <w:t>£1,696,322</w:t>
            </w:r>
          </w:p>
        </w:tc>
      </w:tr>
      <w:tr w:rsidR="00EA1DBD" w:rsidTr="00CC793C">
        <w:tc>
          <w:tcPr>
            <w:tcW w:w="3823" w:type="dxa"/>
          </w:tcPr>
          <w:p w:rsidR="00601AA4" w:rsidRPr="00BD3D5D" w:rsidRDefault="00713730" w:rsidP="00CC793C">
            <w:pPr>
              <w:rPr>
                <w:rFonts w:ascii="Arial" w:hAnsi="Arial" w:cs="Arial"/>
              </w:rPr>
            </w:pPr>
            <w:r w:rsidRPr="00BD3D5D">
              <w:rPr>
                <w:rFonts w:ascii="Arial" w:hAnsi="Arial" w:cs="Arial"/>
              </w:rPr>
              <w:t>Capital to Invest *</w:t>
            </w:r>
          </w:p>
        </w:tc>
        <w:tc>
          <w:tcPr>
            <w:tcW w:w="1984" w:type="dxa"/>
          </w:tcPr>
          <w:p w:rsidR="00601AA4" w:rsidRPr="00BD3D5D" w:rsidRDefault="00713730" w:rsidP="00CC793C">
            <w:pPr>
              <w:rPr>
                <w:rFonts w:ascii="Arial" w:hAnsi="Arial" w:cs="Arial"/>
              </w:rPr>
            </w:pPr>
            <w:r w:rsidRPr="00BD3D5D">
              <w:rPr>
                <w:rFonts w:ascii="Arial" w:hAnsi="Arial" w:cs="Arial"/>
              </w:rPr>
              <w:t>£12,229,244</w:t>
            </w:r>
          </w:p>
        </w:tc>
      </w:tr>
    </w:tbl>
    <w:p w:rsidR="00601AA4" w:rsidRPr="00BD3D5D" w:rsidRDefault="00713730" w:rsidP="00601AA4">
      <w:pPr>
        <w:jc w:val="both"/>
        <w:rPr>
          <w:rFonts w:ascii="Arial" w:hAnsi="Arial" w:cs="Arial"/>
          <w:u w:val="single"/>
        </w:rPr>
      </w:pPr>
    </w:p>
    <w:p w:rsidR="00601AA4" w:rsidRPr="00BD3D5D" w:rsidRDefault="00713730" w:rsidP="00601AA4">
      <w:pPr>
        <w:jc w:val="both"/>
        <w:rPr>
          <w:rFonts w:ascii="Arial" w:hAnsi="Arial" w:cs="Arial"/>
        </w:rPr>
      </w:pPr>
      <w:r w:rsidRPr="00BD3D5D">
        <w:rPr>
          <w:rFonts w:ascii="Arial" w:hAnsi="Arial" w:cs="Arial"/>
        </w:rPr>
        <w:t>*This figure changes with each repayment received.</w:t>
      </w:r>
    </w:p>
    <w:p w:rsidR="00030972" w:rsidRPr="00BD3D5D" w:rsidRDefault="00713730" w:rsidP="00E530C3">
      <w:pPr>
        <w:jc w:val="both"/>
        <w:rPr>
          <w:rFonts w:ascii="Arial" w:hAnsi="Arial" w:cs="Arial"/>
        </w:rPr>
      </w:pPr>
      <w:r w:rsidRPr="00BD3D5D">
        <w:rPr>
          <w:rFonts w:ascii="Arial" w:hAnsi="Arial" w:cs="Arial"/>
          <w:u w:val="single"/>
        </w:rPr>
        <w:t>Milestones</w:t>
      </w:r>
      <w:r w:rsidRPr="00BD3D5D">
        <w:rPr>
          <w:rFonts w:ascii="Arial" w:hAnsi="Arial" w:cs="Arial"/>
        </w:rPr>
        <w:t xml:space="preserve"> - Each scheme has its own milestones in terms of development, which are monitored on a monthly basis during the build phase</w:t>
      </w:r>
    </w:p>
    <w:p w:rsidR="004B4248" w:rsidRPr="00BD3D5D" w:rsidRDefault="00713730" w:rsidP="008D3745">
      <w:pPr>
        <w:jc w:val="both"/>
        <w:rPr>
          <w:rFonts w:ascii="Arial" w:hAnsi="Arial" w:cs="Arial"/>
          <w:b/>
          <w:i/>
        </w:rPr>
      </w:pPr>
      <w:r w:rsidRPr="00BD3D5D">
        <w:rPr>
          <w:rFonts w:ascii="Arial" w:hAnsi="Arial" w:cs="Arial"/>
          <w:b/>
          <w:i/>
        </w:rPr>
        <w:t>Risks</w:t>
      </w:r>
    </w:p>
    <w:p w:rsidR="004B4248" w:rsidRPr="00BD3D5D" w:rsidRDefault="00713730" w:rsidP="008D3745">
      <w:pPr>
        <w:pStyle w:val="ListParagraph"/>
        <w:numPr>
          <w:ilvl w:val="0"/>
          <w:numId w:val="1"/>
        </w:numPr>
        <w:jc w:val="both"/>
        <w:rPr>
          <w:rFonts w:ascii="Arial" w:hAnsi="Arial" w:cs="Arial"/>
        </w:rPr>
      </w:pPr>
      <w:r w:rsidRPr="00BD3D5D">
        <w:rPr>
          <w:rFonts w:ascii="Arial" w:hAnsi="Arial" w:cs="Arial"/>
        </w:rPr>
        <w:t>The current loans are not repaid</w:t>
      </w:r>
    </w:p>
    <w:p w:rsidR="00F16EA0" w:rsidRPr="00BD3D5D" w:rsidRDefault="00713730" w:rsidP="008D3745">
      <w:pPr>
        <w:pStyle w:val="ListParagraph"/>
        <w:numPr>
          <w:ilvl w:val="0"/>
          <w:numId w:val="1"/>
        </w:numPr>
        <w:jc w:val="both"/>
        <w:rPr>
          <w:rFonts w:ascii="Arial" w:hAnsi="Arial" w:cs="Arial"/>
        </w:rPr>
      </w:pPr>
      <w:r w:rsidRPr="00BD3D5D">
        <w:rPr>
          <w:rFonts w:ascii="Arial" w:hAnsi="Arial" w:cs="Arial"/>
        </w:rPr>
        <w:t>Failure to deliver more loans</w:t>
      </w:r>
    </w:p>
    <w:p w:rsidR="00F16EA0" w:rsidRPr="00BD3D5D" w:rsidRDefault="00713730" w:rsidP="008D3745">
      <w:pPr>
        <w:pStyle w:val="ListParagraph"/>
        <w:numPr>
          <w:ilvl w:val="0"/>
          <w:numId w:val="1"/>
        </w:numPr>
        <w:jc w:val="both"/>
        <w:rPr>
          <w:rFonts w:ascii="Arial" w:hAnsi="Arial" w:cs="Arial"/>
        </w:rPr>
      </w:pPr>
      <w:r w:rsidRPr="00BD3D5D">
        <w:rPr>
          <w:rFonts w:ascii="Arial" w:hAnsi="Arial" w:cs="Arial"/>
        </w:rPr>
        <w:t>The pipeline of schemes dries up</w:t>
      </w:r>
    </w:p>
    <w:p w:rsidR="001F2900" w:rsidRDefault="00713730" w:rsidP="001F2900">
      <w:pPr>
        <w:jc w:val="both"/>
        <w:rPr>
          <w:rFonts w:ascii="Arial" w:hAnsi="Arial" w:cs="Arial"/>
        </w:rPr>
      </w:pPr>
      <w:r w:rsidRPr="00BD3D5D">
        <w:rPr>
          <w:rFonts w:ascii="Arial" w:hAnsi="Arial" w:cs="Arial"/>
        </w:rPr>
        <w:t xml:space="preserve">In mitigation of the above risks, each scheme is closely monitored to identify any problems early with solutions to the issues worked through.  It is not envisaged that any of the current schemes will default on their loans.  The current pipeline is being </w:t>
      </w:r>
      <w:r w:rsidRPr="00BD3D5D">
        <w:rPr>
          <w:rFonts w:ascii="Arial" w:hAnsi="Arial" w:cs="Arial"/>
        </w:rPr>
        <w:t xml:space="preserve">actively managed and will be diligently </w:t>
      </w:r>
      <w:r w:rsidRPr="001F2900">
        <w:rPr>
          <w:rFonts w:ascii="Arial" w:hAnsi="Arial" w:cs="Arial"/>
        </w:rPr>
        <w:t xml:space="preserve">promoted when the current restrictions allow. A list of developers active in Lancashire has been created and work is ongoing to make them aware of the funding. </w:t>
      </w:r>
    </w:p>
    <w:p w:rsidR="001F2900" w:rsidRPr="001F2900" w:rsidRDefault="00713730" w:rsidP="001F2900">
      <w:pPr>
        <w:jc w:val="both"/>
        <w:rPr>
          <w:rFonts w:ascii="Arial" w:hAnsi="Arial" w:cs="Arial"/>
        </w:rPr>
      </w:pPr>
      <w:r w:rsidRPr="001F2900">
        <w:rPr>
          <w:rFonts w:ascii="Arial" w:hAnsi="Arial" w:cs="Arial"/>
        </w:rPr>
        <w:t>A marketing campaign is being developed to raise awaren</w:t>
      </w:r>
      <w:r w:rsidRPr="001F2900">
        <w:rPr>
          <w:rFonts w:ascii="Arial" w:hAnsi="Arial" w:cs="Arial"/>
        </w:rPr>
        <w:t xml:space="preserve">ess amongst stakeholders to support the six Pillars of Growth in the strategic framework and to access developers that are </w:t>
      </w:r>
      <w:r w:rsidRPr="001F2900">
        <w:rPr>
          <w:rFonts w:ascii="Arial" w:hAnsi="Arial" w:cs="Arial"/>
        </w:rPr>
        <w:lastRenderedPageBreak/>
        <w:t xml:space="preserve">not currently on our radar.  As part of the marketing campaign, targeted material will be developed for Food &amp; Agriculture, Tourism, </w:t>
      </w:r>
      <w:r w:rsidRPr="001F2900">
        <w:rPr>
          <w:rFonts w:ascii="Arial" w:hAnsi="Arial" w:cs="Arial"/>
        </w:rPr>
        <w:t>Culture &amp; Place, Digital, Advanced Manufacturing, Energy &amp;Low Carbon Solutions and Health to raise awareness of the capital funding available to businesses.</w:t>
      </w:r>
    </w:p>
    <w:p w:rsidR="00B41784" w:rsidRPr="001F2900" w:rsidRDefault="00713730" w:rsidP="001F2900">
      <w:pPr>
        <w:jc w:val="both"/>
        <w:rPr>
          <w:rFonts w:ascii="Arial" w:hAnsi="Arial" w:cs="Arial"/>
        </w:rPr>
      </w:pPr>
    </w:p>
    <w:sectPr w:rsidR="00B41784" w:rsidRPr="001F2900" w:rsidSect="002E1DA4">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3730">
      <w:pPr>
        <w:spacing w:after="0" w:line="240" w:lineRule="auto"/>
      </w:pPr>
      <w:r>
        <w:separator/>
      </w:r>
    </w:p>
  </w:endnote>
  <w:endnote w:type="continuationSeparator" w:id="0">
    <w:p w:rsidR="00000000" w:rsidRDefault="0071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CE" w:rsidRDefault="0071373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3730">
      <w:pPr>
        <w:spacing w:after="0" w:line="240" w:lineRule="auto"/>
      </w:pPr>
      <w:r>
        <w:separator/>
      </w:r>
    </w:p>
  </w:footnote>
  <w:footnote w:type="continuationSeparator" w:id="0">
    <w:p w:rsidR="00000000" w:rsidRDefault="0071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30" w:rsidRPr="00713730" w:rsidRDefault="00713730" w:rsidP="00713730">
    <w:pPr>
      <w:pStyle w:val="Header"/>
      <w:jc w:val="right"/>
      <w:rPr>
        <w:rFonts w:ascii="Arial" w:hAnsi="Arial" w:cs="Arial"/>
        <w:b/>
        <w:sz w:val="24"/>
        <w:szCs w:val="24"/>
      </w:rPr>
    </w:pPr>
    <w:r>
      <w:rPr>
        <w:rFonts w:ascii="Arial" w:hAnsi="Arial" w:cs="Arial"/>
        <w:b/>
        <w:sz w:val="24"/>
        <w:szCs w:val="24"/>
      </w:rPr>
      <w:t>Appendix 'G'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7F80"/>
    <w:multiLevelType w:val="hybridMultilevel"/>
    <w:tmpl w:val="382EC88E"/>
    <w:lvl w:ilvl="0" w:tplc="E1704A54">
      <w:start w:val="1"/>
      <w:numFmt w:val="decimal"/>
      <w:lvlText w:val="%1)"/>
      <w:lvlJc w:val="left"/>
      <w:pPr>
        <w:ind w:left="720" w:hanging="360"/>
      </w:pPr>
      <w:rPr>
        <w:rFonts w:hint="default"/>
      </w:rPr>
    </w:lvl>
    <w:lvl w:ilvl="1" w:tplc="E12AACF0" w:tentative="1">
      <w:start w:val="1"/>
      <w:numFmt w:val="lowerLetter"/>
      <w:lvlText w:val="%2."/>
      <w:lvlJc w:val="left"/>
      <w:pPr>
        <w:ind w:left="1440" w:hanging="360"/>
      </w:pPr>
    </w:lvl>
    <w:lvl w:ilvl="2" w:tplc="043E2AA4" w:tentative="1">
      <w:start w:val="1"/>
      <w:numFmt w:val="lowerRoman"/>
      <w:lvlText w:val="%3."/>
      <w:lvlJc w:val="right"/>
      <w:pPr>
        <w:ind w:left="2160" w:hanging="180"/>
      </w:pPr>
    </w:lvl>
    <w:lvl w:ilvl="3" w:tplc="2750B15E" w:tentative="1">
      <w:start w:val="1"/>
      <w:numFmt w:val="decimal"/>
      <w:lvlText w:val="%4."/>
      <w:lvlJc w:val="left"/>
      <w:pPr>
        <w:ind w:left="2880" w:hanging="360"/>
      </w:pPr>
    </w:lvl>
    <w:lvl w:ilvl="4" w:tplc="D1AC5C28" w:tentative="1">
      <w:start w:val="1"/>
      <w:numFmt w:val="lowerLetter"/>
      <w:lvlText w:val="%5."/>
      <w:lvlJc w:val="left"/>
      <w:pPr>
        <w:ind w:left="3600" w:hanging="360"/>
      </w:pPr>
    </w:lvl>
    <w:lvl w:ilvl="5" w:tplc="C8B21046" w:tentative="1">
      <w:start w:val="1"/>
      <w:numFmt w:val="lowerRoman"/>
      <w:lvlText w:val="%6."/>
      <w:lvlJc w:val="right"/>
      <w:pPr>
        <w:ind w:left="4320" w:hanging="180"/>
      </w:pPr>
    </w:lvl>
    <w:lvl w:ilvl="6" w:tplc="89B462F6" w:tentative="1">
      <w:start w:val="1"/>
      <w:numFmt w:val="decimal"/>
      <w:lvlText w:val="%7."/>
      <w:lvlJc w:val="left"/>
      <w:pPr>
        <w:ind w:left="5040" w:hanging="360"/>
      </w:pPr>
    </w:lvl>
    <w:lvl w:ilvl="7" w:tplc="E46ED6D0" w:tentative="1">
      <w:start w:val="1"/>
      <w:numFmt w:val="lowerLetter"/>
      <w:lvlText w:val="%8."/>
      <w:lvlJc w:val="left"/>
      <w:pPr>
        <w:ind w:left="5760" w:hanging="360"/>
      </w:pPr>
    </w:lvl>
    <w:lvl w:ilvl="8" w:tplc="82F2267C" w:tentative="1">
      <w:start w:val="1"/>
      <w:numFmt w:val="lowerRoman"/>
      <w:lvlText w:val="%9."/>
      <w:lvlJc w:val="right"/>
      <w:pPr>
        <w:ind w:left="6480" w:hanging="180"/>
      </w:pPr>
    </w:lvl>
  </w:abstractNum>
  <w:abstractNum w:abstractNumId="1" w15:restartNumberingAfterBreak="0">
    <w:nsid w:val="4C092DE2"/>
    <w:multiLevelType w:val="hybridMultilevel"/>
    <w:tmpl w:val="82E4DEC6"/>
    <w:lvl w:ilvl="0" w:tplc="EA44CDD8">
      <w:start w:val="2019"/>
      <w:numFmt w:val="bullet"/>
      <w:lvlText w:val=""/>
      <w:lvlJc w:val="left"/>
      <w:pPr>
        <w:ind w:left="720" w:hanging="360"/>
      </w:pPr>
      <w:rPr>
        <w:rFonts w:ascii="Symbol" w:eastAsiaTheme="minorHAnsi" w:hAnsi="Symbol" w:cs="Arial" w:hint="default"/>
      </w:rPr>
    </w:lvl>
    <w:lvl w:ilvl="1" w:tplc="8F540468" w:tentative="1">
      <w:start w:val="1"/>
      <w:numFmt w:val="bullet"/>
      <w:lvlText w:val="o"/>
      <w:lvlJc w:val="left"/>
      <w:pPr>
        <w:ind w:left="1440" w:hanging="360"/>
      </w:pPr>
      <w:rPr>
        <w:rFonts w:ascii="Courier New" w:hAnsi="Courier New" w:cs="Courier New" w:hint="default"/>
      </w:rPr>
    </w:lvl>
    <w:lvl w:ilvl="2" w:tplc="8D4C27AE" w:tentative="1">
      <w:start w:val="1"/>
      <w:numFmt w:val="bullet"/>
      <w:lvlText w:val=""/>
      <w:lvlJc w:val="left"/>
      <w:pPr>
        <w:ind w:left="2160" w:hanging="360"/>
      </w:pPr>
      <w:rPr>
        <w:rFonts w:ascii="Wingdings" w:hAnsi="Wingdings" w:hint="default"/>
      </w:rPr>
    </w:lvl>
    <w:lvl w:ilvl="3" w:tplc="9F90E7E8" w:tentative="1">
      <w:start w:val="1"/>
      <w:numFmt w:val="bullet"/>
      <w:lvlText w:val=""/>
      <w:lvlJc w:val="left"/>
      <w:pPr>
        <w:ind w:left="2880" w:hanging="360"/>
      </w:pPr>
      <w:rPr>
        <w:rFonts w:ascii="Symbol" w:hAnsi="Symbol" w:hint="default"/>
      </w:rPr>
    </w:lvl>
    <w:lvl w:ilvl="4" w:tplc="5F84C6FC" w:tentative="1">
      <w:start w:val="1"/>
      <w:numFmt w:val="bullet"/>
      <w:lvlText w:val="o"/>
      <w:lvlJc w:val="left"/>
      <w:pPr>
        <w:ind w:left="3600" w:hanging="360"/>
      </w:pPr>
      <w:rPr>
        <w:rFonts w:ascii="Courier New" w:hAnsi="Courier New" w:cs="Courier New" w:hint="default"/>
      </w:rPr>
    </w:lvl>
    <w:lvl w:ilvl="5" w:tplc="55588174" w:tentative="1">
      <w:start w:val="1"/>
      <w:numFmt w:val="bullet"/>
      <w:lvlText w:val=""/>
      <w:lvlJc w:val="left"/>
      <w:pPr>
        <w:ind w:left="4320" w:hanging="360"/>
      </w:pPr>
      <w:rPr>
        <w:rFonts w:ascii="Wingdings" w:hAnsi="Wingdings" w:hint="default"/>
      </w:rPr>
    </w:lvl>
    <w:lvl w:ilvl="6" w:tplc="D3281FB2" w:tentative="1">
      <w:start w:val="1"/>
      <w:numFmt w:val="bullet"/>
      <w:lvlText w:val=""/>
      <w:lvlJc w:val="left"/>
      <w:pPr>
        <w:ind w:left="5040" w:hanging="360"/>
      </w:pPr>
      <w:rPr>
        <w:rFonts w:ascii="Symbol" w:hAnsi="Symbol" w:hint="default"/>
      </w:rPr>
    </w:lvl>
    <w:lvl w:ilvl="7" w:tplc="3A401B40" w:tentative="1">
      <w:start w:val="1"/>
      <w:numFmt w:val="bullet"/>
      <w:lvlText w:val="o"/>
      <w:lvlJc w:val="left"/>
      <w:pPr>
        <w:ind w:left="5760" w:hanging="360"/>
      </w:pPr>
      <w:rPr>
        <w:rFonts w:ascii="Courier New" w:hAnsi="Courier New" w:cs="Courier New" w:hint="default"/>
      </w:rPr>
    </w:lvl>
    <w:lvl w:ilvl="8" w:tplc="DC12327C" w:tentative="1">
      <w:start w:val="1"/>
      <w:numFmt w:val="bullet"/>
      <w:lvlText w:val=""/>
      <w:lvlJc w:val="left"/>
      <w:pPr>
        <w:ind w:left="6480" w:hanging="360"/>
      </w:pPr>
      <w:rPr>
        <w:rFonts w:ascii="Wingdings" w:hAnsi="Wingdings" w:hint="default"/>
      </w:rPr>
    </w:lvl>
  </w:abstractNum>
  <w:abstractNum w:abstractNumId="2" w15:restartNumberingAfterBreak="0">
    <w:nsid w:val="63C95153"/>
    <w:multiLevelType w:val="hybridMultilevel"/>
    <w:tmpl w:val="DF507C24"/>
    <w:lvl w:ilvl="0" w:tplc="239692B0">
      <w:start w:val="2019"/>
      <w:numFmt w:val="bullet"/>
      <w:lvlText w:val=""/>
      <w:lvlJc w:val="left"/>
      <w:pPr>
        <w:ind w:left="720" w:hanging="360"/>
      </w:pPr>
      <w:rPr>
        <w:rFonts w:ascii="Symbol" w:eastAsiaTheme="minorHAnsi" w:hAnsi="Symbol" w:cs="Arial" w:hint="default"/>
      </w:rPr>
    </w:lvl>
    <w:lvl w:ilvl="1" w:tplc="18B2EBF4" w:tentative="1">
      <w:start w:val="1"/>
      <w:numFmt w:val="bullet"/>
      <w:lvlText w:val="o"/>
      <w:lvlJc w:val="left"/>
      <w:pPr>
        <w:ind w:left="1440" w:hanging="360"/>
      </w:pPr>
      <w:rPr>
        <w:rFonts w:ascii="Courier New" w:hAnsi="Courier New" w:cs="Courier New" w:hint="default"/>
      </w:rPr>
    </w:lvl>
    <w:lvl w:ilvl="2" w:tplc="B6B6FE94" w:tentative="1">
      <w:start w:val="1"/>
      <w:numFmt w:val="bullet"/>
      <w:lvlText w:val=""/>
      <w:lvlJc w:val="left"/>
      <w:pPr>
        <w:ind w:left="2160" w:hanging="360"/>
      </w:pPr>
      <w:rPr>
        <w:rFonts w:ascii="Wingdings" w:hAnsi="Wingdings" w:hint="default"/>
      </w:rPr>
    </w:lvl>
    <w:lvl w:ilvl="3" w:tplc="3C84246E" w:tentative="1">
      <w:start w:val="1"/>
      <w:numFmt w:val="bullet"/>
      <w:lvlText w:val=""/>
      <w:lvlJc w:val="left"/>
      <w:pPr>
        <w:ind w:left="2880" w:hanging="360"/>
      </w:pPr>
      <w:rPr>
        <w:rFonts w:ascii="Symbol" w:hAnsi="Symbol" w:hint="default"/>
      </w:rPr>
    </w:lvl>
    <w:lvl w:ilvl="4" w:tplc="F00A7404" w:tentative="1">
      <w:start w:val="1"/>
      <w:numFmt w:val="bullet"/>
      <w:lvlText w:val="o"/>
      <w:lvlJc w:val="left"/>
      <w:pPr>
        <w:ind w:left="3600" w:hanging="360"/>
      </w:pPr>
      <w:rPr>
        <w:rFonts w:ascii="Courier New" w:hAnsi="Courier New" w:cs="Courier New" w:hint="default"/>
      </w:rPr>
    </w:lvl>
    <w:lvl w:ilvl="5" w:tplc="2E305494" w:tentative="1">
      <w:start w:val="1"/>
      <w:numFmt w:val="bullet"/>
      <w:lvlText w:val=""/>
      <w:lvlJc w:val="left"/>
      <w:pPr>
        <w:ind w:left="4320" w:hanging="360"/>
      </w:pPr>
      <w:rPr>
        <w:rFonts w:ascii="Wingdings" w:hAnsi="Wingdings" w:hint="default"/>
      </w:rPr>
    </w:lvl>
    <w:lvl w:ilvl="6" w:tplc="1084EF88" w:tentative="1">
      <w:start w:val="1"/>
      <w:numFmt w:val="bullet"/>
      <w:lvlText w:val=""/>
      <w:lvlJc w:val="left"/>
      <w:pPr>
        <w:ind w:left="5040" w:hanging="360"/>
      </w:pPr>
      <w:rPr>
        <w:rFonts w:ascii="Symbol" w:hAnsi="Symbol" w:hint="default"/>
      </w:rPr>
    </w:lvl>
    <w:lvl w:ilvl="7" w:tplc="B7B06652" w:tentative="1">
      <w:start w:val="1"/>
      <w:numFmt w:val="bullet"/>
      <w:lvlText w:val="o"/>
      <w:lvlJc w:val="left"/>
      <w:pPr>
        <w:ind w:left="5760" w:hanging="360"/>
      </w:pPr>
      <w:rPr>
        <w:rFonts w:ascii="Courier New" w:hAnsi="Courier New" w:cs="Courier New" w:hint="default"/>
      </w:rPr>
    </w:lvl>
    <w:lvl w:ilvl="8" w:tplc="CE18EDFA" w:tentative="1">
      <w:start w:val="1"/>
      <w:numFmt w:val="bullet"/>
      <w:lvlText w:val=""/>
      <w:lvlJc w:val="left"/>
      <w:pPr>
        <w:ind w:left="6480" w:hanging="360"/>
      </w:pPr>
      <w:rPr>
        <w:rFonts w:ascii="Wingdings" w:hAnsi="Wingdings" w:hint="default"/>
      </w:rPr>
    </w:lvl>
  </w:abstractNum>
  <w:abstractNum w:abstractNumId="3" w15:restartNumberingAfterBreak="0">
    <w:nsid w:val="641F395F"/>
    <w:multiLevelType w:val="hybridMultilevel"/>
    <w:tmpl w:val="CF547532"/>
    <w:lvl w:ilvl="0" w:tplc="8BF22BE8">
      <w:start w:val="2019"/>
      <w:numFmt w:val="bullet"/>
      <w:lvlText w:val=""/>
      <w:lvlJc w:val="left"/>
      <w:pPr>
        <w:ind w:left="720" w:hanging="360"/>
      </w:pPr>
      <w:rPr>
        <w:rFonts w:ascii="Symbol" w:eastAsiaTheme="minorHAnsi" w:hAnsi="Symbol" w:cs="Arial" w:hint="default"/>
        <w:u w:val="single"/>
      </w:rPr>
    </w:lvl>
    <w:lvl w:ilvl="1" w:tplc="C63ECC3A" w:tentative="1">
      <w:start w:val="1"/>
      <w:numFmt w:val="bullet"/>
      <w:lvlText w:val="o"/>
      <w:lvlJc w:val="left"/>
      <w:pPr>
        <w:ind w:left="1440" w:hanging="360"/>
      </w:pPr>
      <w:rPr>
        <w:rFonts w:ascii="Courier New" w:hAnsi="Courier New" w:cs="Courier New" w:hint="default"/>
      </w:rPr>
    </w:lvl>
    <w:lvl w:ilvl="2" w:tplc="608A0668" w:tentative="1">
      <w:start w:val="1"/>
      <w:numFmt w:val="bullet"/>
      <w:lvlText w:val=""/>
      <w:lvlJc w:val="left"/>
      <w:pPr>
        <w:ind w:left="2160" w:hanging="360"/>
      </w:pPr>
      <w:rPr>
        <w:rFonts w:ascii="Wingdings" w:hAnsi="Wingdings" w:hint="default"/>
      </w:rPr>
    </w:lvl>
    <w:lvl w:ilvl="3" w:tplc="3D544F02" w:tentative="1">
      <w:start w:val="1"/>
      <w:numFmt w:val="bullet"/>
      <w:lvlText w:val=""/>
      <w:lvlJc w:val="left"/>
      <w:pPr>
        <w:ind w:left="2880" w:hanging="360"/>
      </w:pPr>
      <w:rPr>
        <w:rFonts w:ascii="Symbol" w:hAnsi="Symbol" w:hint="default"/>
      </w:rPr>
    </w:lvl>
    <w:lvl w:ilvl="4" w:tplc="7F6CE510" w:tentative="1">
      <w:start w:val="1"/>
      <w:numFmt w:val="bullet"/>
      <w:lvlText w:val="o"/>
      <w:lvlJc w:val="left"/>
      <w:pPr>
        <w:ind w:left="3600" w:hanging="360"/>
      </w:pPr>
      <w:rPr>
        <w:rFonts w:ascii="Courier New" w:hAnsi="Courier New" w:cs="Courier New" w:hint="default"/>
      </w:rPr>
    </w:lvl>
    <w:lvl w:ilvl="5" w:tplc="120A46FA" w:tentative="1">
      <w:start w:val="1"/>
      <w:numFmt w:val="bullet"/>
      <w:lvlText w:val=""/>
      <w:lvlJc w:val="left"/>
      <w:pPr>
        <w:ind w:left="4320" w:hanging="360"/>
      </w:pPr>
      <w:rPr>
        <w:rFonts w:ascii="Wingdings" w:hAnsi="Wingdings" w:hint="default"/>
      </w:rPr>
    </w:lvl>
    <w:lvl w:ilvl="6" w:tplc="5BA40B42" w:tentative="1">
      <w:start w:val="1"/>
      <w:numFmt w:val="bullet"/>
      <w:lvlText w:val=""/>
      <w:lvlJc w:val="left"/>
      <w:pPr>
        <w:ind w:left="5040" w:hanging="360"/>
      </w:pPr>
      <w:rPr>
        <w:rFonts w:ascii="Symbol" w:hAnsi="Symbol" w:hint="default"/>
      </w:rPr>
    </w:lvl>
    <w:lvl w:ilvl="7" w:tplc="3BF81AB4" w:tentative="1">
      <w:start w:val="1"/>
      <w:numFmt w:val="bullet"/>
      <w:lvlText w:val="o"/>
      <w:lvlJc w:val="left"/>
      <w:pPr>
        <w:ind w:left="5760" w:hanging="360"/>
      </w:pPr>
      <w:rPr>
        <w:rFonts w:ascii="Courier New" w:hAnsi="Courier New" w:cs="Courier New" w:hint="default"/>
      </w:rPr>
    </w:lvl>
    <w:lvl w:ilvl="8" w:tplc="C766180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BD"/>
    <w:rsid w:val="00713730"/>
    <w:rsid w:val="00EA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37B7"/>
  <w15:docId w15:val="{E22478EE-097E-4A65-BEA9-AFE002DE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A0"/>
    <w:pPr>
      <w:ind w:left="720"/>
      <w:contextualSpacing/>
    </w:pPr>
  </w:style>
  <w:style w:type="table" w:styleId="TableGrid">
    <w:name w:val="Table Grid"/>
    <w:basedOn w:val="TableNormal"/>
    <w:uiPriority w:val="39"/>
    <w:rsid w:val="0009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ACE"/>
  </w:style>
  <w:style w:type="paragraph" w:styleId="Footer">
    <w:name w:val="footer"/>
    <w:basedOn w:val="Normal"/>
    <w:link w:val="FooterChar"/>
    <w:uiPriority w:val="99"/>
    <w:unhideWhenUsed/>
    <w:rsid w:val="00C6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ACE"/>
  </w:style>
  <w:style w:type="paragraph" w:styleId="NoSpacing">
    <w:name w:val="No Spacing"/>
    <w:uiPriority w:val="1"/>
    <w:qFormat/>
    <w:rsid w:val="008D3745"/>
    <w:pPr>
      <w:spacing w:after="0" w:line="240" w:lineRule="auto"/>
    </w:pPr>
  </w:style>
  <w:style w:type="paragraph" w:styleId="BalloonText">
    <w:name w:val="Balloon Text"/>
    <w:basedOn w:val="Normal"/>
    <w:link w:val="BalloonTextChar"/>
    <w:uiPriority w:val="99"/>
    <w:semiHidden/>
    <w:unhideWhenUsed/>
    <w:rsid w:val="0015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F794-A488-4794-8B21-CAF073BB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Sue (LEP)</dc:creator>
  <cp:lastModifiedBy>Milroy, Andy</cp:lastModifiedBy>
  <cp:revision>15</cp:revision>
  <dcterms:created xsi:type="dcterms:W3CDTF">2020-06-08T10:03:00Z</dcterms:created>
  <dcterms:modified xsi:type="dcterms:W3CDTF">2020-06-16T10:23:00Z</dcterms:modified>
</cp:coreProperties>
</file>